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FE" w:rsidRDefault="00196C85" w:rsidP="00196C85">
      <w:pPr>
        <w:spacing w:after="0" w:line="240" w:lineRule="auto"/>
        <w:rPr>
          <w:rFonts w:ascii="Arial" w:eastAsia="Times New Roman" w:hAnsi="Arial" w:cs="Arial"/>
          <w:color w:val="4D4D4D"/>
          <w:lang w:val="en-US" w:eastAsia="ru-RU"/>
        </w:rPr>
      </w:pPr>
      <w:r w:rsidRPr="001C67E1">
        <w:rPr>
          <w:rFonts w:ascii="Arial" w:eastAsia="Times New Roman" w:hAnsi="Arial" w:cs="Arial"/>
          <w:b/>
          <w:color w:val="4D4D4D"/>
          <w:shd w:val="clear" w:color="auto" w:fill="F3F2F2"/>
          <w:lang w:eastAsia="ru-RU"/>
        </w:rPr>
        <w:t>05.12.13 13:26</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Что делать, если у вас вымогают взятку?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В случае, если у вас вымогают взятку, необходимо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Поинтересоваться у собеседника о гарантиях решения вопроса в случае дачи взятки или совершения подкупа. Не берите инициативу в разговоре на себя, позволяйте потенциальному взяткополучателю «выговориться», сообщить вам как можно больше информации.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Незамедлительно сообщить о факте вымогательства взятки в правоохранительные органы по месту вашего жительства.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2. При вымогательстве взятки должностными лицами силовых структур (прокуратуры, милиции, ФСБ, МЧС) или при наличии угрозы жизни и здоровью людей – необходимо сразу обращаться в Управление ФСБ России по Республике Бурятия по телефонам: 8 (3012) 21-24-69, 21-06-42, 22-10-28.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 xml:space="preserve">3. В случае непринятия сотрудниками правоохранительных органов мер по поданному вами заявлению о вымогательстве взятки их бездействие можно обжаловать в прокуратуру Республики Бурятия по адресу: 670000, г. Улан-Удэ, ул. </w:t>
      </w:r>
      <w:proofErr w:type="spellStart"/>
      <w:r w:rsidRPr="00196C85">
        <w:rPr>
          <w:rFonts w:ascii="Arial" w:eastAsia="Times New Roman" w:hAnsi="Arial" w:cs="Arial"/>
          <w:color w:val="4D4D4D"/>
          <w:shd w:val="clear" w:color="auto" w:fill="F3F2F2"/>
          <w:lang w:eastAsia="ru-RU"/>
        </w:rPr>
        <w:t>Борсоева</w:t>
      </w:r>
      <w:proofErr w:type="spellEnd"/>
      <w:r w:rsidRPr="00196C85">
        <w:rPr>
          <w:rFonts w:ascii="Arial" w:eastAsia="Times New Roman" w:hAnsi="Arial" w:cs="Arial"/>
          <w:color w:val="4D4D4D"/>
          <w:shd w:val="clear" w:color="auto" w:fill="F3F2F2"/>
          <w:lang w:eastAsia="ru-RU"/>
        </w:rPr>
        <w:t>, 23а, телефон 8 (3012) 21-24-33, телефон дежурного прокурора: 8 (3012) 21-44-98, мобильная связь: +7 914 050-96-79, на сайт - </w:t>
      </w:r>
      <w:hyperlink r:id="rId4" w:history="1">
        <w:r w:rsidRPr="00196C85">
          <w:rPr>
            <w:rFonts w:ascii="Arial" w:eastAsia="Times New Roman" w:hAnsi="Arial" w:cs="Arial"/>
            <w:color w:val="2B579A"/>
            <w:lang w:eastAsia="ru-RU"/>
          </w:rPr>
          <w:t>http://prokuratura-rb.ru</w:t>
        </w:r>
      </w:hyperlink>
      <w:r w:rsidRPr="00196C85">
        <w:rPr>
          <w:rFonts w:ascii="Arial" w:eastAsia="Times New Roman" w:hAnsi="Arial" w:cs="Arial"/>
          <w:color w:val="4D4D4D"/>
          <w:shd w:val="clear" w:color="auto" w:fill="F3F2F2"/>
          <w:lang w:eastAsia="ru-RU"/>
        </w:rPr>
        <w:t>, </w:t>
      </w:r>
      <w:hyperlink r:id="rId5" w:history="1">
        <w:r w:rsidRPr="00196C85">
          <w:rPr>
            <w:rFonts w:ascii="Arial" w:eastAsia="Times New Roman" w:hAnsi="Arial" w:cs="Arial"/>
            <w:color w:val="2B579A"/>
            <w:lang w:eastAsia="ru-RU"/>
          </w:rPr>
          <w:t>http://prokuror.rostov.ru/</w:t>
        </w:r>
      </w:hyperlink>
      <w:r w:rsidRPr="00196C85">
        <w:rPr>
          <w:rFonts w:ascii="Arial" w:eastAsia="Times New Roman" w:hAnsi="Arial" w:cs="Arial"/>
          <w:color w:val="4D4D4D"/>
          <w:shd w:val="clear" w:color="auto" w:fill="F3F2F2"/>
          <w:lang w:eastAsia="ru-RU"/>
        </w:rPr>
        <w:t>а в случае непринятий мер республиканкой прокуратурой - в Генеральную прокуратуру РФ. Письменные обращения в Генеральную прокуратуру Российской Федерации необходимо направлять по адресу: 125993,  ГСП -3, г. Москва, ул. Большая Дмитровка, 15а. Телефон справочной по обращениям в Генеральную прокуратуру Российской Федерации: 8 (495) 987-56-56. Сайт: </w:t>
      </w:r>
      <w:hyperlink r:id="rId6" w:history="1">
        <w:r w:rsidRPr="00196C85">
          <w:rPr>
            <w:rFonts w:ascii="Arial" w:eastAsia="Times New Roman" w:hAnsi="Arial" w:cs="Arial"/>
            <w:color w:val="2B579A"/>
            <w:lang w:eastAsia="ru-RU"/>
          </w:rPr>
          <w:t>http://genproc.gov.ru</w:t>
        </w:r>
      </w:hyperlink>
      <w:r w:rsidRPr="00196C85">
        <w:rPr>
          <w:rFonts w:ascii="Arial" w:eastAsia="Times New Roman" w:hAnsi="Arial" w:cs="Arial"/>
          <w:color w:val="4D4D4D"/>
          <w:shd w:val="clear" w:color="auto" w:fill="F3F2F2"/>
          <w:lang w:eastAsia="ru-RU"/>
        </w:rPr>
        <w:t>.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Письменные заявления и жалобы в прокуратуру республики или Генеральную прокуратуру направляются с вложением документов, необходимых для их рассмотрения. В заявлении указывать конкретные должности, звания и фамилии сотрудников правоохранительных органов, не принявших действенных мер по вашему заявлению и обстоятельства дела.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Бездействие следственных органов можно также обжаловать в Следственное управление следственного комитета РФ по Республике Бурятия по адресу: 670000, г. Улан-Удэ, ул. Коммунистическая, 25а, телефон 8 (3012) 21-46-23, телефон дежурного: 8 (3012) 21-19-30, мобильная связь: +7 924 772-12-28. Сайт – </w:t>
      </w:r>
      <w:hyperlink r:id="rId7" w:history="1">
        <w:r w:rsidRPr="00196C85">
          <w:rPr>
            <w:rFonts w:ascii="Arial" w:eastAsia="Times New Roman" w:hAnsi="Arial" w:cs="Arial"/>
            <w:color w:val="2B579A"/>
            <w:lang w:eastAsia="ru-RU"/>
          </w:rPr>
          <w:t>http://buryatia.sledcom.ru</w:t>
        </w:r>
      </w:hyperlink>
      <w:r w:rsidRPr="00196C85">
        <w:rPr>
          <w:rFonts w:ascii="Arial" w:eastAsia="Times New Roman" w:hAnsi="Arial" w:cs="Arial"/>
          <w:color w:val="4D4D4D"/>
          <w:shd w:val="clear" w:color="auto" w:fill="F3F2F2"/>
          <w:lang w:eastAsia="ru-RU"/>
        </w:rPr>
        <w:t>, а бездействие Следственного управления – в Следственный Комитет РФ, телефон доверия «Остановим коррупцию»: 8 (800) 100-12-60. </w:t>
      </w:r>
      <w:proofErr w:type="spellStart"/>
      <w:r w:rsidRPr="00196C85">
        <w:rPr>
          <w:rFonts w:ascii="Arial" w:eastAsia="Times New Roman" w:hAnsi="Arial" w:cs="Arial"/>
          <w:color w:val="4D4D4D"/>
          <w:shd w:val="clear" w:color="auto" w:fill="F3F2F2"/>
          <w:lang w:eastAsia="ru-RU"/>
        </w:rPr>
        <w:t>Cайт</w:t>
      </w:r>
      <w:proofErr w:type="spellEnd"/>
      <w:r w:rsidRPr="00196C85">
        <w:rPr>
          <w:rFonts w:ascii="Arial" w:eastAsia="Times New Roman" w:hAnsi="Arial" w:cs="Arial"/>
          <w:color w:val="4D4D4D"/>
          <w:shd w:val="clear" w:color="auto" w:fill="F3F2F2"/>
          <w:lang w:eastAsia="ru-RU"/>
        </w:rPr>
        <w:t>: </w:t>
      </w:r>
      <w:hyperlink r:id="rId8" w:history="1">
        <w:r w:rsidRPr="00196C85">
          <w:rPr>
            <w:rFonts w:ascii="Arial" w:eastAsia="Times New Roman" w:hAnsi="Arial" w:cs="Arial"/>
            <w:color w:val="2B579A"/>
            <w:lang w:eastAsia="ru-RU"/>
          </w:rPr>
          <w:t>http://www.sledcom.ru</w:t>
        </w:r>
      </w:hyperlink>
      <w:r w:rsidRPr="00196C85">
        <w:rPr>
          <w:rFonts w:ascii="Arial" w:eastAsia="Times New Roman" w:hAnsi="Arial" w:cs="Arial"/>
          <w:color w:val="4D4D4D"/>
          <w:shd w:val="clear" w:color="auto" w:fill="F3F2F2"/>
          <w:lang w:eastAsia="ru-RU"/>
        </w:rPr>
        <w:t>. </w:t>
      </w:r>
      <w:r w:rsidRPr="00196C85">
        <w:rPr>
          <w:rFonts w:ascii="Arial" w:eastAsia="Times New Roman" w:hAnsi="Arial" w:cs="Arial"/>
          <w:color w:val="4D4D4D"/>
          <w:lang w:eastAsia="ru-RU"/>
        </w:rPr>
        <w:br/>
      </w:r>
    </w:p>
    <w:p w:rsidR="002706FE" w:rsidRPr="00196C85" w:rsidRDefault="002706FE" w:rsidP="002706FE">
      <w:pPr>
        <w:spacing w:after="0" w:line="240" w:lineRule="auto"/>
        <w:rPr>
          <w:rFonts w:ascii="Times New Roman" w:eastAsia="Times New Roman" w:hAnsi="Times New Roman" w:cs="Times New Roman"/>
          <w:sz w:val="24"/>
          <w:szCs w:val="24"/>
          <w:lang w:eastAsia="ru-RU"/>
        </w:rPr>
      </w:pPr>
      <w:r w:rsidRPr="001C67E1">
        <w:rPr>
          <w:rFonts w:ascii="Arial" w:eastAsia="Times New Roman" w:hAnsi="Arial" w:cs="Arial"/>
          <w:b/>
          <w:color w:val="4D4D4D"/>
          <w:shd w:val="clear" w:color="auto" w:fill="F3F2F2"/>
          <w:lang w:eastAsia="ru-RU"/>
        </w:rPr>
        <w:t>16.12.13 18:12</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Необходимо ли государственному гражданскому служащему представлять сведения о доходах, об имуществе и обязательствах имущественного характера сына за 2013 год?</w:t>
      </w:r>
    </w:p>
    <w:p w:rsidR="002706FE" w:rsidRPr="00196C85" w:rsidRDefault="002706FE" w:rsidP="002706FE">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1. В июне 2013 года сын государственного гражданского служащего, обязанного предоставлять сведения о доходах, об имуществе и обязательствах имущественного характера, достиг совершеннолетия. Необходимо ли государственному гражданскому служащему представлять сведения о доходах, об имуществе и обязательствах имущественного характера сына за 2013 год?</w:t>
      </w:r>
    </w:p>
    <w:p w:rsidR="002706FE" w:rsidRPr="00196C85" w:rsidRDefault="002706FE" w:rsidP="002706FE">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 xml:space="preserve">Ответ: </w:t>
      </w:r>
      <w:proofErr w:type="gramStart"/>
      <w:r w:rsidRPr="00196C85">
        <w:rPr>
          <w:rFonts w:ascii="Arial" w:eastAsia="Times New Roman" w:hAnsi="Arial" w:cs="Arial"/>
          <w:color w:val="4D4D4D"/>
          <w:lang w:eastAsia="ru-RU"/>
        </w:rPr>
        <w:t>В</w:t>
      </w:r>
      <w:proofErr w:type="gramEnd"/>
      <w:r w:rsidRPr="00196C85">
        <w:rPr>
          <w:rFonts w:ascii="Arial" w:eastAsia="Times New Roman" w:hAnsi="Arial" w:cs="Arial"/>
          <w:color w:val="4D4D4D"/>
          <w:lang w:eastAsia="ru-RU"/>
        </w:rPr>
        <w:t xml:space="preserve"> случае, если на конец отчетного периода (31 декабря) ребенок служащего является несовершеннолетним, справка на него не представляется.</w:t>
      </w:r>
    </w:p>
    <w:p w:rsidR="002706FE" w:rsidRPr="002706FE" w:rsidRDefault="002706FE" w:rsidP="00196C85">
      <w:pPr>
        <w:spacing w:after="0" w:line="240" w:lineRule="auto"/>
        <w:rPr>
          <w:rFonts w:ascii="Arial" w:eastAsia="Times New Roman" w:hAnsi="Arial" w:cs="Arial"/>
          <w:color w:val="4D4D4D"/>
          <w:lang w:eastAsia="ru-RU"/>
        </w:rPr>
      </w:pPr>
    </w:p>
    <w:p w:rsidR="00196C85" w:rsidRPr="00196C85" w:rsidRDefault="00196C85" w:rsidP="00196C85">
      <w:pPr>
        <w:spacing w:after="0" w:line="240" w:lineRule="auto"/>
        <w:rPr>
          <w:rFonts w:ascii="Times New Roman" w:eastAsia="Times New Roman" w:hAnsi="Times New Roman" w:cs="Times New Roman"/>
          <w:sz w:val="24"/>
          <w:szCs w:val="24"/>
          <w:lang w:eastAsia="ru-RU"/>
        </w:rPr>
      </w:pPr>
      <w:r w:rsidRPr="00196C85">
        <w:rPr>
          <w:rFonts w:ascii="Arial" w:eastAsia="Times New Roman" w:hAnsi="Arial" w:cs="Arial"/>
          <w:color w:val="4D4D4D"/>
          <w:lang w:eastAsia="ru-RU"/>
        </w:rPr>
        <w:lastRenderedPageBreak/>
        <w:br/>
      </w:r>
      <w:r w:rsidRPr="001C67E1">
        <w:rPr>
          <w:rFonts w:ascii="Arial" w:eastAsia="Times New Roman" w:hAnsi="Arial" w:cs="Arial"/>
          <w:b/>
          <w:color w:val="4D4D4D"/>
          <w:shd w:val="clear" w:color="auto" w:fill="F3F2F2"/>
          <w:lang w:eastAsia="ru-RU"/>
        </w:rPr>
        <w:t>16.12.13 18:15</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Какие ограничения налагаются на гражданина, замещавшего должность государственной службы, при заключении им трудового или гражданско-правового договора?</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        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Круг лиц, на которых распространяется данное ограничение, установлен пунктом 1 Указа Президента РБ от 01.10.2010 № 108. К ним относятся граждане Российской Федерации, замещавшие должность государственной гражданской службы Республики Бурятия, утвержденную пунктом 1 или пунктом 2  Указа Президента Республики Бурятия от 13.08.2009 N 288 «Об определении должностей государственной гражданской службы Республики Бурятия, при назначении на которые граждане и при замещении которых государственные гражданские служащие Республики Бурятия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Период, в течение которого действует указанное ограничение, начинается со дня увольнения с государственной гражданской службы Республики Бурятия и заканчивается через два года.</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196C85" w:rsidRPr="00196C85" w:rsidRDefault="001C67E1" w:rsidP="00196C85">
      <w:pPr>
        <w:shd w:val="clear" w:color="auto" w:fill="F3F2F2"/>
        <w:spacing w:after="240" w:line="240" w:lineRule="auto"/>
        <w:rPr>
          <w:rFonts w:ascii="Arial" w:eastAsia="Times New Roman" w:hAnsi="Arial" w:cs="Arial"/>
          <w:color w:val="4D4D4D"/>
          <w:lang w:eastAsia="ru-RU"/>
        </w:rPr>
      </w:pPr>
      <w:r>
        <w:rPr>
          <w:rFonts w:ascii="Arial" w:eastAsia="Times New Roman" w:hAnsi="Arial" w:cs="Arial"/>
          <w:color w:val="4D4D4D"/>
          <w:lang w:eastAsia="ru-RU"/>
        </w:rPr>
        <w:t>-  </w:t>
      </w:r>
      <w:r w:rsidR="00196C85" w:rsidRPr="00196C85">
        <w:rPr>
          <w:rFonts w:ascii="Arial" w:eastAsia="Times New Roman" w:hAnsi="Arial" w:cs="Arial"/>
          <w:color w:val="4D4D4D"/>
          <w:lang w:eastAsia="ru-RU"/>
        </w:rPr>
        <w:t>включение должности государственной службы в соответствующий перечень должностей, предусмотренный пунктом 1 Указа Президента РБ от 01.10.2010 № 108;</w:t>
      </w:r>
    </w:p>
    <w:p w:rsidR="00196C85" w:rsidRPr="00196C85" w:rsidRDefault="001C67E1" w:rsidP="00196C85">
      <w:pPr>
        <w:shd w:val="clear" w:color="auto" w:fill="F3F2F2"/>
        <w:spacing w:after="240" w:line="240" w:lineRule="auto"/>
        <w:rPr>
          <w:rFonts w:ascii="Arial" w:eastAsia="Times New Roman" w:hAnsi="Arial" w:cs="Arial"/>
          <w:color w:val="4D4D4D"/>
          <w:lang w:eastAsia="ru-RU"/>
        </w:rPr>
      </w:pPr>
      <w:r>
        <w:rPr>
          <w:rFonts w:ascii="Arial" w:eastAsia="Times New Roman" w:hAnsi="Arial" w:cs="Arial"/>
          <w:color w:val="4D4D4D"/>
          <w:lang w:eastAsia="ru-RU"/>
        </w:rPr>
        <w:t>-  </w:t>
      </w:r>
      <w:r w:rsidR="00196C85" w:rsidRPr="00196C85">
        <w:rPr>
          <w:rFonts w:ascii="Arial" w:eastAsia="Times New Roman" w:hAnsi="Arial" w:cs="Arial"/>
          <w:color w:val="4D4D4D"/>
          <w:lang w:eastAsia="ru-RU"/>
        </w:rPr>
        <w:t>осуществление отдельных функций государственного управления в отношении данной организации во время прохождения государственной службы.</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lastRenderedPageBreak/>
        <w:t>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Республики Бурятия от 02.09.2010 № 97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Заседание комиссии по указанному вопросу проводится на основании абзаца второго подпункта «б» пункта 15 Положения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 утвержденного Указом (далее – Положение), по итогам которого в соответствии с пунктом 23 Положения принимается одно из следующих решений:</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 xml:space="preserve">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w:t>
      </w:r>
      <w:r w:rsidRPr="00196C85">
        <w:rPr>
          <w:rFonts w:ascii="Arial" w:eastAsia="Times New Roman" w:hAnsi="Arial" w:cs="Arial"/>
          <w:color w:val="4D4D4D"/>
          <w:lang w:eastAsia="ru-RU"/>
        </w:rPr>
        <w:lastRenderedPageBreak/>
        <w:t>или гражданско-правового договора на выполнение работ (оказание услуг), заключенного с ним.</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96C85" w:rsidRPr="00196C85" w:rsidRDefault="00196C85" w:rsidP="00196C85">
      <w:pPr>
        <w:shd w:val="clear" w:color="auto" w:fill="F3F2F2"/>
        <w:spacing w:after="240" w:line="240" w:lineRule="auto"/>
        <w:rPr>
          <w:rFonts w:ascii="Arial" w:eastAsia="Times New Roman" w:hAnsi="Arial" w:cs="Arial"/>
          <w:color w:val="4D4D4D"/>
          <w:lang w:eastAsia="ru-RU"/>
        </w:rPr>
      </w:pPr>
      <w:r w:rsidRPr="00196C85">
        <w:rPr>
          <w:rFonts w:ascii="Arial" w:eastAsia="Times New Roman" w:hAnsi="Arial" w:cs="Arial"/>
          <w:color w:val="4D4D4D"/>
          <w:lang w:eastAsia="ru-RU"/>
        </w:rPr>
        <w:t>Случаями, когда дача согласия комиссией не требуется, являются следующие ситуации:</w:t>
      </w:r>
    </w:p>
    <w:p w:rsidR="00196C85" w:rsidRPr="00196C85" w:rsidRDefault="001C67E1" w:rsidP="00196C85">
      <w:pPr>
        <w:shd w:val="clear" w:color="auto" w:fill="F3F2F2"/>
        <w:spacing w:after="240" w:line="240" w:lineRule="auto"/>
        <w:rPr>
          <w:rFonts w:ascii="Arial" w:eastAsia="Times New Roman" w:hAnsi="Arial" w:cs="Arial"/>
          <w:color w:val="4D4D4D"/>
          <w:lang w:eastAsia="ru-RU"/>
        </w:rPr>
      </w:pPr>
      <w:r>
        <w:rPr>
          <w:rFonts w:ascii="Arial" w:eastAsia="Times New Roman" w:hAnsi="Arial" w:cs="Arial"/>
          <w:color w:val="4D4D4D"/>
          <w:lang w:eastAsia="ru-RU"/>
        </w:rPr>
        <w:t>-  </w:t>
      </w:r>
      <w:r w:rsidR="00196C85" w:rsidRPr="00196C85">
        <w:rPr>
          <w:rFonts w:ascii="Arial" w:eastAsia="Times New Roman" w:hAnsi="Arial" w:cs="Arial"/>
          <w:color w:val="4D4D4D"/>
          <w:lang w:eastAsia="ru-RU"/>
        </w:rPr>
        <w:t>гражданин переходит на работу по трудовому договору в другой государственный орган;</w:t>
      </w:r>
    </w:p>
    <w:p w:rsidR="00196C85" w:rsidRPr="00196C85" w:rsidRDefault="001C67E1" w:rsidP="00196C85">
      <w:pPr>
        <w:shd w:val="clear" w:color="auto" w:fill="F3F2F2"/>
        <w:spacing w:after="240" w:line="240" w:lineRule="auto"/>
        <w:rPr>
          <w:rFonts w:ascii="Arial" w:eastAsia="Times New Roman" w:hAnsi="Arial" w:cs="Arial"/>
          <w:color w:val="4D4D4D"/>
          <w:lang w:eastAsia="ru-RU"/>
        </w:rPr>
      </w:pPr>
      <w:r>
        <w:rPr>
          <w:rFonts w:ascii="Arial" w:eastAsia="Times New Roman" w:hAnsi="Arial" w:cs="Arial"/>
          <w:color w:val="4D4D4D"/>
          <w:lang w:eastAsia="ru-RU"/>
        </w:rPr>
        <w:t>-   </w:t>
      </w:r>
      <w:r w:rsidR="00196C85" w:rsidRPr="00196C85">
        <w:rPr>
          <w:rFonts w:ascii="Arial" w:eastAsia="Times New Roman" w:hAnsi="Arial" w:cs="Arial"/>
          <w:color w:val="4D4D4D"/>
          <w:lang w:eastAsia="ru-RU"/>
        </w:rPr>
        <w:t>гражданин участвует в деятельности органа управления коммерческой организацией в случаях, установленных федеральным законом;</w:t>
      </w:r>
    </w:p>
    <w:p w:rsidR="001C67E1" w:rsidRDefault="00196C85" w:rsidP="002706FE">
      <w:pPr>
        <w:spacing w:after="0" w:line="240" w:lineRule="auto"/>
        <w:rPr>
          <w:rFonts w:ascii="Arial" w:eastAsia="Times New Roman" w:hAnsi="Arial" w:cs="Arial"/>
          <w:color w:val="4D4D4D"/>
          <w:lang w:eastAsia="ru-RU"/>
        </w:rPr>
      </w:pPr>
      <w:r w:rsidRPr="00196C85">
        <w:rPr>
          <w:rFonts w:ascii="Arial" w:eastAsia="Times New Roman" w:hAnsi="Arial" w:cs="Arial"/>
          <w:color w:val="4D4D4D"/>
          <w:shd w:val="clear" w:color="auto" w:fill="F3F2F2"/>
          <w:lang w:eastAsia="ru-RU"/>
        </w:rPr>
        <w:t>-   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r w:rsidRPr="00196C85">
        <w:rPr>
          <w:rFonts w:ascii="Arial" w:eastAsia="Times New Roman" w:hAnsi="Arial" w:cs="Arial"/>
          <w:color w:val="4D4D4D"/>
          <w:lang w:eastAsia="ru-RU"/>
        </w:rPr>
        <w:br/>
      </w:r>
    </w:p>
    <w:p w:rsidR="001C67E1" w:rsidRPr="001C67E1" w:rsidRDefault="001C67E1" w:rsidP="001C67E1">
      <w:pPr>
        <w:spacing w:after="0" w:line="240" w:lineRule="auto"/>
        <w:rPr>
          <w:rFonts w:ascii="Arial" w:eastAsia="Times New Roman" w:hAnsi="Arial" w:cs="Arial"/>
          <w:b/>
          <w:color w:val="4D4D4D"/>
          <w:lang w:eastAsia="ru-RU"/>
        </w:rPr>
      </w:pPr>
      <w:r w:rsidRPr="001C67E1">
        <w:rPr>
          <w:rFonts w:ascii="Arial" w:eastAsia="Times New Roman" w:hAnsi="Arial" w:cs="Arial"/>
          <w:b/>
          <w:color w:val="4D4D4D"/>
          <w:lang w:eastAsia="ru-RU"/>
        </w:rPr>
        <w:t>20.02.15 09:17</w:t>
      </w:r>
    </w:p>
    <w:p w:rsidR="001C67E1" w:rsidRPr="001C67E1" w:rsidRDefault="001C67E1" w:rsidP="001C67E1">
      <w:pPr>
        <w:spacing w:after="0" w:line="240" w:lineRule="auto"/>
        <w:rPr>
          <w:rFonts w:ascii="Arial" w:eastAsia="Times New Roman" w:hAnsi="Arial" w:cs="Arial"/>
          <w:color w:val="4D4D4D"/>
          <w:lang w:eastAsia="ru-RU"/>
        </w:rPr>
      </w:pPr>
      <w:r w:rsidRPr="001C67E1">
        <w:rPr>
          <w:rFonts w:ascii="Arial" w:eastAsia="Times New Roman" w:hAnsi="Arial" w:cs="Arial"/>
          <w:color w:val="4D4D4D"/>
          <w:lang w:eastAsia="ru-RU"/>
        </w:rPr>
        <w:t>Подлежат ли размещению в сети «Интернет» на официальных сайтах органов государственной власти сведения о расходах, представленные гражданскими служащими?</w:t>
      </w:r>
    </w:p>
    <w:p w:rsidR="001C67E1" w:rsidRPr="001C67E1" w:rsidRDefault="001C67E1" w:rsidP="001C67E1">
      <w:pPr>
        <w:spacing w:after="0" w:line="240" w:lineRule="auto"/>
        <w:rPr>
          <w:rFonts w:ascii="Arial" w:eastAsia="Times New Roman" w:hAnsi="Arial" w:cs="Arial"/>
          <w:color w:val="4D4D4D"/>
          <w:lang w:eastAsia="ru-RU"/>
        </w:rPr>
      </w:pPr>
    </w:p>
    <w:p w:rsidR="001C67E1" w:rsidRPr="001C67E1" w:rsidRDefault="001C67E1" w:rsidP="001C67E1">
      <w:pPr>
        <w:spacing w:after="0" w:line="240" w:lineRule="auto"/>
        <w:rPr>
          <w:rFonts w:ascii="Arial" w:eastAsia="Times New Roman" w:hAnsi="Arial" w:cs="Arial"/>
          <w:color w:val="4D4D4D"/>
          <w:lang w:eastAsia="ru-RU"/>
        </w:rPr>
      </w:pPr>
      <w:r w:rsidRPr="001C67E1">
        <w:rPr>
          <w:rFonts w:ascii="Arial" w:eastAsia="Times New Roman" w:hAnsi="Arial" w:cs="Arial"/>
          <w:color w:val="4D4D4D"/>
          <w:lang w:eastAsia="ru-RU"/>
        </w:rPr>
        <w:t>В соответствии с частью 4 статьи 8 Федерального закона от 03.12.2012 № 230-ФЗ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размещаются в сети «Интернет» на официальных сайтах органов государственной власти и предоставляются для опубликования средствам массовой информации.</w:t>
      </w:r>
    </w:p>
    <w:p w:rsidR="001C67E1" w:rsidRDefault="001C67E1" w:rsidP="002706FE">
      <w:pPr>
        <w:spacing w:after="0" w:line="240" w:lineRule="auto"/>
        <w:rPr>
          <w:rFonts w:ascii="Arial" w:eastAsia="Times New Roman" w:hAnsi="Arial" w:cs="Arial"/>
          <w:color w:val="4D4D4D"/>
          <w:lang w:eastAsia="ru-RU"/>
        </w:rPr>
      </w:pPr>
    </w:p>
    <w:p w:rsidR="001C67E1" w:rsidRDefault="001C67E1" w:rsidP="002706FE">
      <w:pPr>
        <w:spacing w:after="0" w:line="240" w:lineRule="auto"/>
        <w:rPr>
          <w:rFonts w:ascii="Arial" w:eastAsia="Times New Roman" w:hAnsi="Arial" w:cs="Arial"/>
          <w:color w:val="4D4D4D"/>
          <w:lang w:eastAsia="ru-RU"/>
        </w:rPr>
      </w:pPr>
    </w:p>
    <w:p w:rsidR="001C67E1" w:rsidRDefault="00196C85" w:rsidP="002706FE">
      <w:pPr>
        <w:spacing w:after="0" w:line="240" w:lineRule="auto"/>
        <w:rPr>
          <w:rFonts w:ascii="Arial" w:eastAsia="Times New Roman" w:hAnsi="Arial" w:cs="Arial"/>
          <w:color w:val="4D4D4D"/>
          <w:shd w:val="clear" w:color="auto" w:fill="F3F2F2"/>
          <w:lang w:eastAsia="ru-RU"/>
        </w:rPr>
      </w:pPr>
      <w:r w:rsidRPr="00196C85">
        <w:rPr>
          <w:rFonts w:ascii="Arial" w:eastAsia="Times New Roman" w:hAnsi="Arial" w:cs="Arial"/>
          <w:color w:val="4D4D4D"/>
          <w:lang w:eastAsia="ru-RU"/>
        </w:rPr>
        <w:br/>
      </w:r>
      <w:r w:rsidRPr="001C67E1">
        <w:rPr>
          <w:rFonts w:ascii="Arial" w:eastAsia="Times New Roman" w:hAnsi="Arial" w:cs="Arial"/>
          <w:b/>
          <w:color w:val="4D4D4D"/>
          <w:shd w:val="clear" w:color="auto" w:fill="F3F2F2"/>
          <w:lang w:eastAsia="ru-RU"/>
        </w:rPr>
        <w:t>08.03.16 15:07</w:t>
      </w:r>
      <w:r w:rsidRPr="00196C85">
        <w:rPr>
          <w:rFonts w:ascii="Arial" w:eastAsia="Times New Roman" w:hAnsi="Arial" w:cs="Arial"/>
          <w:color w:val="4D4D4D"/>
          <w:shd w:val="clear" w:color="auto" w:fill="F3F2F2"/>
          <w:lang w:eastAsia="ru-RU"/>
        </w:rPr>
        <w:t>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Если транспортное средство продано по договору купли-продажи, а новый собственник не переоформил транспортное средство на себя в органах ГИБДД, как отразить этот факт в справке?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 xml:space="preserve">До момента регистрации покупателем в ГИБДД перехода права собственности на транспортное средство фактическим собственником автомобиля является служащий </w:t>
      </w:r>
      <w:r w:rsidRPr="00196C85">
        <w:rPr>
          <w:rFonts w:ascii="Arial" w:eastAsia="Times New Roman" w:hAnsi="Arial" w:cs="Arial"/>
          <w:color w:val="4D4D4D"/>
          <w:shd w:val="clear" w:color="auto" w:fill="F3F2F2"/>
          <w:lang w:eastAsia="ru-RU"/>
        </w:rPr>
        <w:lastRenderedPageBreak/>
        <w:t>(продавец). Соответственно, сведения о транспортном средстве указываются в подразделе 3.2 справки «Транспортные средства». </w:t>
      </w:r>
      <w:r w:rsidRPr="00196C85">
        <w:rPr>
          <w:rFonts w:ascii="Arial" w:eastAsia="Times New Roman" w:hAnsi="Arial" w:cs="Arial"/>
          <w:color w:val="4D4D4D"/>
          <w:lang w:eastAsia="ru-RU"/>
        </w:rPr>
        <w:br/>
      </w:r>
      <w:r w:rsidRPr="00196C85">
        <w:rPr>
          <w:rFonts w:ascii="Arial" w:eastAsia="Times New Roman" w:hAnsi="Arial" w:cs="Arial"/>
          <w:color w:val="4D4D4D"/>
          <w:lang w:eastAsia="ru-RU"/>
        </w:rPr>
        <w:br/>
      </w:r>
      <w:r w:rsidRPr="001C67E1">
        <w:rPr>
          <w:rFonts w:ascii="Arial" w:eastAsia="Times New Roman" w:hAnsi="Arial" w:cs="Arial"/>
          <w:b/>
          <w:color w:val="4D4D4D"/>
          <w:shd w:val="clear" w:color="auto" w:fill="F3F2F2"/>
          <w:lang w:eastAsia="ru-RU"/>
        </w:rPr>
        <w:t>17.03.16 13:11</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Если на момент подачи справки гражданин не работает или не работал по состоянию на 31 декабря отчетного года, в какой строке следует указывать доход по последнему месту работы в «Доход по основному месту работы» или в «Иные доходы» с указанием организации? </w:t>
      </w:r>
      <w:r w:rsidRPr="00196C85">
        <w:rPr>
          <w:rFonts w:ascii="Arial" w:eastAsia="Times New Roman" w:hAnsi="Arial" w:cs="Arial"/>
          <w:color w:val="4D4D4D"/>
          <w:lang w:eastAsia="ru-RU"/>
        </w:rPr>
        <w:br/>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Так как это последнее основное место работы гражданина, соответственно доход указывается в строке «Доход по основному месту работы». </w:t>
      </w:r>
      <w:r w:rsidRPr="00196C85">
        <w:rPr>
          <w:rFonts w:ascii="Arial" w:eastAsia="Times New Roman" w:hAnsi="Arial" w:cs="Arial"/>
          <w:color w:val="4D4D4D"/>
          <w:lang w:eastAsia="ru-RU"/>
        </w:rPr>
        <w:br/>
      </w:r>
      <w:r w:rsidRPr="00196C85">
        <w:rPr>
          <w:rFonts w:ascii="Arial" w:eastAsia="Times New Roman" w:hAnsi="Arial" w:cs="Arial"/>
          <w:color w:val="4D4D4D"/>
          <w:lang w:eastAsia="ru-RU"/>
        </w:rPr>
        <w:br/>
      </w:r>
      <w:bookmarkStart w:id="0" w:name="_GoBack"/>
      <w:bookmarkEnd w:id="0"/>
    </w:p>
    <w:p w:rsidR="00196C85" w:rsidRPr="00196C85" w:rsidRDefault="00196C85" w:rsidP="002706FE">
      <w:pPr>
        <w:spacing w:after="0" w:line="240" w:lineRule="auto"/>
        <w:rPr>
          <w:rFonts w:ascii="Arial" w:eastAsia="Times New Roman" w:hAnsi="Arial" w:cs="Arial"/>
          <w:color w:val="4D4D4D"/>
          <w:lang w:eastAsia="ru-RU"/>
        </w:rPr>
      </w:pPr>
      <w:r w:rsidRPr="001C67E1">
        <w:rPr>
          <w:rFonts w:ascii="Arial" w:eastAsia="Times New Roman" w:hAnsi="Arial" w:cs="Arial"/>
          <w:b/>
          <w:color w:val="4D4D4D"/>
          <w:shd w:val="clear" w:color="auto" w:fill="F3F2F2"/>
          <w:lang w:eastAsia="ru-RU"/>
        </w:rPr>
        <w:t>04.09.16 08:49</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Госслужащий не проживает совместно с супругой и не имеет сведений о ее доходах и имуществе, при этом супруги в разводе не состоят. Вправе ли госслужащий в этом случае не представлять представителю нанимателя сведения о доходах и имуществе супруги? </w:t>
      </w:r>
      <w:r w:rsidRPr="00196C85">
        <w:rPr>
          <w:rFonts w:ascii="Arial" w:eastAsia="Times New Roman" w:hAnsi="Arial" w:cs="Arial"/>
          <w:color w:val="4D4D4D"/>
          <w:lang w:eastAsia="ru-RU"/>
        </w:rPr>
        <w:br/>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Ответ: </w:t>
      </w:r>
      <w:r w:rsidRPr="00196C85">
        <w:rPr>
          <w:rFonts w:ascii="Arial" w:eastAsia="Times New Roman" w:hAnsi="Arial" w:cs="Arial"/>
          <w:color w:val="4D4D4D"/>
          <w:lang w:eastAsia="ru-RU"/>
        </w:rPr>
        <w:br/>
      </w:r>
      <w:r w:rsidRPr="00196C85">
        <w:rPr>
          <w:rFonts w:ascii="Arial" w:eastAsia="Times New Roman" w:hAnsi="Arial" w:cs="Arial"/>
          <w:color w:val="4D4D4D"/>
          <w:shd w:val="clear" w:color="auto" w:fill="F3F2F2"/>
          <w:lang w:eastAsia="ru-RU"/>
        </w:rPr>
        <w:t>Тот факт, что супруги проживают раздельно, но брак между ними в порядке, предусмотренном Семейным кодексом РФ, не расторгнут, не является законодательно установленным основанием для освобождения от обязанности представлять сведения о доходах и имуществе супруги. Однако в рассматриваемом случае факт раздельного проживания супругов и, как следствие, отсутствие информации о доходах и имуществе супруги может быть признан в качестве основания для освобождения от ответственности за непредставление сведений о доходах и имуществе супруги по результатам рассмотрения комиссии по соблюдению требований к служебному поведению и урегулированию конфликта интересов. Для рассмотрения данного факта госслужащий должен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с указанием соответствующих причин, по которым он не может представить сведения о доходах и имуществе супруги.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государственном органе. </w:t>
      </w:r>
      <w:r w:rsidRPr="00196C85">
        <w:rPr>
          <w:rFonts w:ascii="Arial" w:eastAsia="Times New Roman" w:hAnsi="Arial" w:cs="Arial"/>
          <w:color w:val="4D4D4D"/>
          <w:lang w:eastAsia="ru-RU"/>
        </w:rPr>
        <w:br/>
      </w:r>
      <w:r w:rsidRPr="00196C85">
        <w:rPr>
          <w:rFonts w:ascii="Arial" w:eastAsia="Times New Roman" w:hAnsi="Arial" w:cs="Arial"/>
          <w:color w:val="4D4D4D"/>
          <w:lang w:eastAsia="ru-RU"/>
        </w:rPr>
        <w:br/>
      </w:r>
      <w:r w:rsidRPr="00196C85">
        <w:rPr>
          <w:rFonts w:ascii="Arial" w:eastAsia="Times New Roman" w:hAnsi="Arial" w:cs="Arial"/>
          <w:color w:val="4D4D4D"/>
          <w:lang w:eastAsia="ru-RU"/>
        </w:rPr>
        <w:br/>
      </w:r>
    </w:p>
    <w:p w:rsidR="00854858" w:rsidRDefault="00854858"/>
    <w:sectPr w:rsidR="00854858" w:rsidSect="00854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96C85"/>
    <w:rsid w:val="00196C85"/>
    <w:rsid w:val="001C67E1"/>
    <w:rsid w:val="002706FE"/>
    <w:rsid w:val="0085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0D28"/>
  <w15:docId w15:val="{D1D3F950-6D8D-4878-9F84-D54D83AE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6C85"/>
    <w:rPr>
      <w:color w:val="0000FF"/>
      <w:u w:val="single"/>
    </w:rPr>
  </w:style>
  <w:style w:type="paragraph" w:styleId="a4">
    <w:name w:val="Normal (Web)"/>
    <w:basedOn w:val="a"/>
    <w:uiPriority w:val="99"/>
    <w:semiHidden/>
    <w:unhideWhenUsed/>
    <w:rsid w:val="00196C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19993">
      <w:bodyDiv w:val="1"/>
      <w:marLeft w:val="0"/>
      <w:marRight w:val="0"/>
      <w:marTop w:val="0"/>
      <w:marBottom w:val="0"/>
      <w:divBdr>
        <w:top w:val="none" w:sz="0" w:space="0" w:color="auto"/>
        <w:left w:val="none" w:sz="0" w:space="0" w:color="auto"/>
        <w:bottom w:val="none" w:sz="0" w:space="0" w:color="auto"/>
        <w:right w:val="none" w:sz="0" w:space="0" w:color="auto"/>
      </w:divBdr>
    </w:div>
    <w:div w:id="1611164474">
      <w:bodyDiv w:val="1"/>
      <w:marLeft w:val="0"/>
      <w:marRight w:val="0"/>
      <w:marTop w:val="0"/>
      <w:marBottom w:val="0"/>
      <w:divBdr>
        <w:top w:val="none" w:sz="0" w:space="0" w:color="auto"/>
        <w:left w:val="none" w:sz="0" w:space="0" w:color="auto"/>
        <w:bottom w:val="none" w:sz="0" w:space="0" w:color="auto"/>
        <w:right w:val="none" w:sz="0" w:space="0" w:color="auto"/>
      </w:divBdr>
      <w:divsChild>
        <w:div w:id="856383223">
          <w:marLeft w:val="0"/>
          <w:marRight w:val="0"/>
          <w:marTop w:val="0"/>
          <w:marBottom w:val="0"/>
          <w:divBdr>
            <w:top w:val="none" w:sz="0" w:space="0" w:color="auto"/>
            <w:left w:val="none" w:sz="0" w:space="0" w:color="auto"/>
            <w:bottom w:val="none" w:sz="0" w:space="0" w:color="auto"/>
            <w:right w:val="none" w:sz="0" w:space="0" w:color="auto"/>
          </w:divBdr>
        </w:div>
      </w:divsChild>
    </w:div>
    <w:div w:id="2070762781">
      <w:bodyDiv w:val="1"/>
      <w:marLeft w:val="0"/>
      <w:marRight w:val="0"/>
      <w:marTop w:val="0"/>
      <w:marBottom w:val="0"/>
      <w:divBdr>
        <w:top w:val="none" w:sz="0" w:space="0" w:color="auto"/>
        <w:left w:val="none" w:sz="0" w:space="0" w:color="auto"/>
        <w:bottom w:val="none" w:sz="0" w:space="0" w:color="auto"/>
        <w:right w:val="none" w:sz="0" w:space="0" w:color="auto"/>
      </w:divBdr>
      <w:divsChild>
        <w:div w:id="158788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dcom.ru/" TargetMode="External"/><Relationship Id="rId3" Type="http://schemas.openxmlformats.org/officeDocument/2006/relationships/webSettings" Target="webSettings.xml"/><Relationship Id="rId7" Type="http://schemas.openxmlformats.org/officeDocument/2006/relationships/hyperlink" Target="http://buryatia.sledco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nproc.gov.ru/" TargetMode="External"/><Relationship Id="rId5" Type="http://schemas.openxmlformats.org/officeDocument/2006/relationships/hyperlink" Target="http://prokuror.rostov.ru/" TargetMode="External"/><Relationship Id="rId10" Type="http://schemas.openxmlformats.org/officeDocument/2006/relationships/theme" Target="theme/theme1.xml"/><Relationship Id="rId4" Type="http://schemas.openxmlformats.org/officeDocument/2006/relationships/hyperlink" Target="http://prokuratura-rb.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2415</Words>
  <Characters>13767</Characters>
  <Application>Microsoft Office Word</Application>
  <DocSecurity>0</DocSecurity>
  <Lines>114</Lines>
  <Paragraphs>32</Paragraphs>
  <ScaleCrop>false</ScaleCrop>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убунту</dc:creator>
  <cp:lastModifiedBy>Alex Lobanov</cp:lastModifiedBy>
  <cp:revision>3</cp:revision>
  <dcterms:created xsi:type="dcterms:W3CDTF">2018-03-04T08:07:00Z</dcterms:created>
  <dcterms:modified xsi:type="dcterms:W3CDTF">2018-03-04T14:28:00Z</dcterms:modified>
</cp:coreProperties>
</file>